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8D6A5C1" w:rsidR="00A27829" w:rsidRPr="00885678" w:rsidRDefault="00885678" w:rsidP="00A27829">
      <w:pPr>
        <w:pStyle w:val="Head"/>
      </w:pPr>
      <w:r>
        <w:t xml:space="preserve">Le Wirtgen Group au salon Bauma : « The Future in Roadbuilding– Smart. Safe. Sustainable » </w:t>
      </w:r>
    </w:p>
    <w:p w14:paraId="26F0996C" w14:textId="7B4091FD" w:rsidR="00A46F1E" w:rsidRPr="00885678" w:rsidRDefault="00AA5014" w:rsidP="00881E44">
      <w:pPr>
        <w:pStyle w:val="Subhead"/>
      </w:pPr>
      <w:r>
        <w:t>Plus de 90 machines exposées et 33 premières mondiales sur 13 000 m²</w:t>
      </w:r>
    </w:p>
    <w:p w14:paraId="009AA16D" w14:textId="31A0E005" w:rsidR="00E24215" w:rsidRDefault="00885678" w:rsidP="00E24215">
      <w:pPr>
        <w:pStyle w:val="Teaser"/>
      </w:pPr>
      <w:r>
        <w:t xml:space="preserve">Le Wirtgen Group présente son immense pouvoir d’innovation à Munich avec des solutions d’avenir durables pour la construction routière. Moteur de l’innovation de la branche et deuxième plus grand exposant, il partage de nouveau un stand avec John Deere. La devise commune pour ce salon est : « The Future in Roadbuilding– Smart. Safe. Sustainable ». </w:t>
      </w:r>
    </w:p>
    <w:p w14:paraId="01FE5DB2" w14:textId="77777777" w:rsidR="00E24215" w:rsidRDefault="00E24215" w:rsidP="00E24215">
      <w:pPr>
        <w:pStyle w:val="Teaser"/>
      </w:pPr>
    </w:p>
    <w:p w14:paraId="70246DC3" w14:textId="77777777" w:rsidR="00E24215" w:rsidRDefault="00177214" w:rsidP="00E24215">
      <w:pPr>
        <w:pStyle w:val="Teaser"/>
      </w:pPr>
      <w:r>
        <w:t xml:space="preserve">La construction durable en point de mire  </w:t>
      </w:r>
    </w:p>
    <w:p w14:paraId="44ACC25D" w14:textId="21C064EC" w:rsidR="005D29B1" w:rsidRDefault="005D29B1" w:rsidP="00E24215">
      <w:pPr>
        <w:pStyle w:val="Teaser"/>
        <w:rPr>
          <w:b w:val="0"/>
          <w:bCs/>
        </w:rPr>
      </w:pPr>
      <w:r>
        <w:rPr>
          <w:b w:val="0"/>
        </w:rPr>
        <w:t xml:space="preserve">Le Wirtgen Group aide ses clients à répondre de manière rapide et rentable aux besoins croissants d’infrastructures tout en satisfaisant d’ores et déjà aux exigences </w:t>
      </w:r>
      <w:bookmarkStart w:id="0" w:name="_Hlk103702274"/>
      <w:r>
        <w:rPr>
          <w:b w:val="0"/>
        </w:rPr>
        <w:t xml:space="preserve">croissantes </w:t>
      </w:r>
      <w:bookmarkEnd w:id="0"/>
      <w:r>
        <w:rPr>
          <w:b w:val="0"/>
        </w:rPr>
        <w:t>en matière de protection de l’environnement, de sécurité de l’homme et de la nature dans les appels d’offre. Pour cela, il propose des solutions de machines et de technologies d’entraînement, mais aussi des systèmes de production complets pour la construction routière.</w:t>
      </w:r>
    </w:p>
    <w:p w14:paraId="7F739846" w14:textId="2D52D65A" w:rsidR="005D29B1" w:rsidRDefault="0052300F" w:rsidP="005D29B1">
      <w:pPr>
        <w:pStyle w:val="Standardabsatz"/>
        <w:spacing w:after="0"/>
        <w:rPr>
          <w:b/>
          <w:bCs/>
        </w:rPr>
      </w:pPr>
      <w:r>
        <w:rPr>
          <w:b/>
        </w:rPr>
        <w:t>Systèmes de production intelligents</w:t>
      </w:r>
      <w:r>
        <w:t xml:space="preserve"> </w:t>
      </w:r>
      <w:r>
        <w:rPr>
          <w:b/>
        </w:rPr>
        <w:t>dans</w:t>
      </w:r>
      <w:r>
        <w:t xml:space="preserve"> </w:t>
      </w:r>
      <w:r>
        <w:rPr>
          <w:b/>
        </w:rPr>
        <w:t xml:space="preserve">l’espace d’exposition du groupe </w:t>
      </w:r>
    </w:p>
    <w:p w14:paraId="684C6270" w14:textId="7486D3D6" w:rsidR="00BD25D1" w:rsidRPr="009853B6" w:rsidRDefault="0012631C" w:rsidP="00BD25D1">
      <w:pPr>
        <w:pStyle w:val="Standardabsatz"/>
      </w:pPr>
      <w:r>
        <w:t xml:space="preserve">Le groupe considère l’ensemble du processus de construction routière, conscient que c’est là que réside le plus grand potentiel écologique et économique. Les solutions de systèmes du Wirtgen Group couvrent l’intégralité de la chaîne de production, dont l’entreprise nous montre un aperçu sur sa surface d’exposition. Les visiteurs professionnels verront ainsi comment les clients peuvent mener à bien leurs projets de construction routière de manière durable et rentable grâce à l’interaction efficace des machines et solutions techniques des marques spécialisées Wirtgen, Vögele, Hamm, Kleemann et Benninghoven. </w:t>
      </w:r>
    </w:p>
    <w:p w14:paraId="55696270" w14:textId="363AD8C0" w:rsidR="00BD25D1" w:rsidRPr="001C7305" w:rsidRDefault="00DB2E75" w:rsidP="00754B80">
      <w:pPr>
        <w:pStyle w:val="Absatzberschrift"/>
      </w:pPr>
      <w:r>
        <w:t>La transition digitale, moteur de la sécurité et de la durabilité</w:t>
      </w:r>
    </w:p>
    <w:p w14:paraId="34E892D3" w14:textId="1F299389" w:rsidR="00461FED" w:rsidRDefault="00DB2E75" w:rsidP="001C7305">
      <w:pPr>
        <w:pStyle w:val="Standardabsatz"/>
      </w:pPr>
      <w:r>
        <w:t>Outre l’efficacité des machines et les processus d’application alternatifs, la transition digitale et les solutions en réseau sont d’importants moteurs du développement continu de l’ensemble du processus dans la construction routière. Dans la « Technology Zone », le Wirtgen Group présente des technologies phares adaptées à chaque application ainsi que des solutions et technologies numériques de demain, déjà disponibles aujourd’hui.</w:t>
      </w:r>
    </w:p>
    <w:p w14:paraId="1D1ABCAD" w14:textId="77777777" w:rsidR="00461FED" w:rsidRPr="00461FED" w:rsidRDefault="00461FED" w:rsidP="00461FED">
      <w:pPr>
        <w:spacing w:line="276" w:lineRule="auto"/>
        <w:contextualSpacing/>
        <w:rPr>
          <w:rFonts w:cs="Calibri"/>
          <w:b/>
          <w:bCs/>
          <w:sz w:val="22"/>
          <w:szCs w:val="22"/>
        </w:rPr>
      </w:pPr>
      <w:r>
        <w:rPr>
          <w:b/>
          <w:sz w:val="22"/>
        </w:rPr>
        <w:t>La stratégie de durabilité du Wirtgen Group</w:t>
      </w:r>
    </w:p>
    <w:p w14:paraId="654D74F5" w14:textId="77777777" w:rsidR="00DF10F5" w:rsidRDefault="007A6607" w:rsidP="00DF10F5">
      <w:pPr>
        <w:spacing w:line="276" w:lineRule="auto"/>
        <w:jc w:val="both"/>
        <w:rPr>
          <w:sz w:val="22"/>
        </w:rPr>
      </w:pPr>
      <w:r>
        <w:rPr>
          <w:sz w:val="22"/>
        </w:rPr>
        <w:t>Le Wirtgen Group est un pionnier de la mobilité</w:t>
      </w:r>
      <w:r>
        <w:t xml:space="preserve"> </w:t>
      </w:r>
      <w:r>
        <w:rPr>
          <w:sz w:val="22"/>
        </w:rPr>
        <w:t>dans la construction routière. La durabilité est un pilier fondamental de sa stratégie d’entreprise. Faisant partie du domaine Construction and Forestry de John Deere, les objectifs de développement durable du Wirtgen Group s’inscrivent dans la stratégie globale. Ainsi, les émissions de CO</w:t>
      </w:r>
      <w:r>
        <w:rPr>
          <w:sz w:val="22"/>
          <w:vertAlign w:val="subscript"/>
        </w:rPr>
        <w:t>2</w:t>
      </w:r>
      <w:r>
        <w:rPr>
          <w:sz w:val="22"/>
        </w:rPr>
        <w:t xml:space="preserve">e générées par le transport et l’utilisation des machines de construction ainsi que le fonctionnement des usines et établissements du groupe doivent être considérablement réduites d’ici 2030. </w:t>
      </w:r>
    </w:p>
    <w:p w14:paraId="172DB497" w14:textId="24337648" w:rsidR="000649AF" w:rsidRDefault="007A6607" w:rsidP="00DF10F5">
      <w:pPr>
        <w:spacing w:line="276" w:lineRule="auto"/>
        <w:jc w:val="both"/>
        <w:rPr>
          <w:sz w:val="22"/>
        </w:rPr>
      </w:pPr>
      <w:r>
        <w:rPr>
          <w:sz w:val="22"/>
        </w:rPr>
        <w:lastRenderedPageBreak/>
        <w:t>En parallèle, le nombre de solutions de machines et de technologies durables augmentera graduellement jusqu’en 2026. Les visiteurs pourront en apprendre plus sur les objectifs de développement durable lors d’une exposition du Wirtgen Group sur le toit terrasse de la Technology Zone.</w:t>
      </w:r>
    </w:p>
    <w:p w14:paraId="32DC967E" w14:textId="77777777" w:rsidR="00DF10F5" w:rsidRDefault="00DF10F5" w:rsidP="00DF10F5">
      <w:pPr>
        <w:spacing w:line="276" w:lineRule="auto"/>
        <w:jc w:val="both"/>
        <w:rPr>
          <w:rFonts w:eastAsiaTheme="minorHAnsi" w:cstheme="minorBidi"/>
          <w:b/>
          <w:sz w:val="22"/>
          <w:szCs w:val="24"/>
        </w:rPr>
      </w:pPr>
    </w:p>
    <w:p w14:paraId="6F696BAE" w14:textId="4FA56558" w:rsidR="006D6CC6" w:rsidRDefault="00AE4AB4" w:rsidP="006D6CC6">
      <w:pPr>
        <w:pStyle w:val="Absatzberschrift"/>
      </w:pPr>
      <w:r>
        <w:t>Premières mondiales et innovations pour toutes les marques</w:t>
      </w:r>
    </w:p>
    <w:p w14:paraId="3568E73E" w14:textId="77777777" w:rsidR="009D4AF0" w:rsidRDefault="00FE2795" w:rsidP="00725442">
      <w:pPr>
        <w:pStyle w:val="Standardabsatz"/>
      </w:pPr>
      <w:r>
        <w:t xml:space="preserve">L’orientation durable du Wirtgen Group se ressent également dans les premières mondiales et les innovations de ses marques de produits. </w:t>
      </w:r>
    </w:p>
    <w:p w14:paraId="3F57AEBE" w14:textId="29F6B3D3" w:rsidR="00337387" w:rsidRDefault="00283D98" w:rsidP="00725442">
      <w:pPr>
        <w:pStyle w:val="Standardabsatz"/>
      </w:pPr>
      <w:r>
        <w:t xml:space="preserve">Ainsi, la commande de machine Mill Assist vient désormais équiper la nouvelle génération de fraiseuses compactes de </w:t>
      </w:r>
      <w:r>
        <w:rPr>
          <w:b/>
        </w:rPr>
        <w:t>Wirtgen</w:t>
      </w:r>
      <w:r>
        <w:t xml:space="preserve">, pour une garantie de durabilité et d’efficacité. En plus d’assurer la production d’enrobé de haute qualité à partir d’anciens matériaux recyclés, le mélangeur de recyclage à froid KMA 240i permet désormais aussi de produire des couches de base stabilisées au liant hydraulique. </w:t>
      </w:r>
    </w:p>
    <w:p w14:paraId="785D6B2F" w14:textId="620B072D" w:rsidR="00DF10F5" w:rsidRDefault="00DF10F5" w:rsidP="00725442">
      <w:pPr>
        <w:pStyle w:val="Standardabsatz"/>
      </w:pPr>
      <w:r w:rsidRPr="00DF10F5">
        <w:t xml:space="preserve">Les finisseurs de la nouvelle génération « Tiret 5 » prouvent que chez </w:t>
      </w:r>
      <w:r w:rsidRPr="00DF10F5">
        <w:rPr>
          <w:b/>
          <w:bCs/>
        </w:rPr>
        <w:t>Vögele</w:t>
      </w:r>
      <w:r w:rsidRPr="00DF10F5">
        <w:t>, le vert n’est pas qu’une couleur de machine. Le fabricant présente deux finisseurs de la Highway Class, le SUPER 1900-5(i) et le SUPER 2100-5(i), ainsi que des tables extensibles de dernière génération, l’AB 500 et l’AB 600.</w:t>
      </w:r>
    </w:p>
    <w:p w14:paraId="6324D971" w14:textId="21183D42" w:rsidR="00337387" w:rsidRDefault="00F20E0A" w:rsidP="00725442">
      <w:pPr>
        <w:pStyle w:val="Standardabsatz"/>
      </w:pPr>
      <w:r>
        <w:t xml:space="preserve">Pour les applications nécessitant un compactage sans émissions, les rouleaux tandem à moteur électrique de la série HD CompactLine de </w:t>
      </w:r>
      <w:r>
        <w:rPr>
          <w:b/>
        </w:rPr>
        <w:t>Hamm</w:t>
      </w:r>
      <w:r>
        <w:t xml:space="preserve"> pourront désormais entrer en scène. Les rouleaux tandem électriques conviennent idéalement à toutes les zones où un compactage le plus silencieux possible est requis. Comme il s’agit souvent aussi de zones où de faibles sollicitations vibratoires sont imposées, le spécialiste du compactage propose outre des compacteurs à vibration et à oscillation électriques, également des rouleaux combinés électriques à oscillation.</w:t>
      </w:r>
    </w:p>
    <w:p w14:paraId="566EE77F" w14:textId="7F635BBB" w:rsidR="00337387" w:rsidRDefault="000A65B5" w:rsidP="00725442">
      <w:pPr>
        <w:pStyle w:val="Standardabsatz"/>
      </w:pPr>
      <w:r>
        <w:t xml:space="preserve">L’entraînement du nouveau broyeur à percussion de </w:t>
      </w:r>
      <w:r>
        <w:rPr>
          <w:b/>
        </w:rPr>
        <w:t>Kleemann</w:t>
      </w:r>
      <w:r>
        <w:t xml:space="preserve">, le MOBIREX MR 130(i) PRO, est entièrement électrique. Avec la possibilité d’une alimentation électrique externe, la machine affiche une faible consommation d’énergie par tonne de produit fini lors du retraitement des matériaux. </w:t>
      </w:r>
    </w:p>
    <w:p w14:paraId="65CA085B" w14:textId="1BC652F1" w:rsidR="00337387" w:rsidRDefault="00725442" w:rsidP="00725442">
      <w:pPr>
        <w:pStyle w:val="Standardabsatz"/>
      </w:pPr>
      <w:r>
        <w:t xml:space="preserve">Pour une production d’asphalte durable avec les mélangeurs en mode de production discontinu (batch), </w:t>
      </w:r>
      <w:r>
        <w:rPr>
          <w:b/>
        </w:rPr>
        <w:t>Benninghoven</w:t>
      </w:r>
      <w:r>
        <w:t xml:space="preserve"> présente, entre autres, le système innovant Revoc. Le brûleur multicombustible EVO JET permet d’utiliser des combustibles renouvelables comme les BTL (Biomass to Liquid) et les poussières de bois. Les deux combustibles présentent un bilan carbone neutre. De même, pour le stockage du bitume neutre en carbone, Benninghoven propose des cuves à bitume à chauffage électrique. </w:t>
      </w:r>
    </w:p>
    <w:p w14:paraId="4DE781AF" w14:textId="463008CC" w:rsidR="006D6CC6" w:rsidRDefault="00D51F02" w:rsidP="00337387">
      <w:pPr>
        <w:pStyle w:val="Standardabsatz"/>
      </w:pPr>
      <w:r>
        <w:t xml:space="preserve">Par ailleurs, le Wirtgen Group présente pour la première fois une centrale d’enrobage de </w:t>
      </w:r>
      <w:r>
        <w:rPr>
          <w:b/>
        </w:rPr>
        <w:t>Ciber</w:t>
      </w:r>
      <w:r>
        <w:t xml:space="preserve"> destinée au marché mondial, l’iNova 2000. Ciber est le premier fabricant de centrales d’enrobage pour le procédé de production continu (continuous) en Amérique Latine. Sur les marchés où les deux procédés batch et continuous sont employés, Ciber, 6</w:t>
      </w:r>
      <w:r>
        <w:rPr>
          <w:vertAlign w:val="superscript"/>
        </w:rPr>
        <w:t>e</w:t>
      </w:r>
      <w:r>
        <w:t xml:space="preserve"> marque du Wirtgen Group, complète le portefeuille de centrales d’enrobage du groupe.</w:t>
      </w:r>
    </w:p>
    <w:p w14:paraId="07D2E005" w14:textId="72069860" w:rsidR="00337387" w:rsidRPr="00337387" w:rsidRDefault="00337387" w:rsidP="00337387">
      <w:pPr>
        <w:pStyle w:val="Standardabsatz"/>
      </w:pPr>
      <w:r>
        <w:rPr>
          <w:b/>
        </w:rPr>
        <w:t>John Deere</w:t>
      </w:r>
      <w:r>
        <w:t xml:space="preserve"> est présent au salon avec une sélection de machines de construction et de technologies développées sur mesure pour le marché européen et venant compléter le portefeuille du Wirtgen Group.</w:t>
      </w:r>
    </w:p>
    <w:p w14:paraId="31412CCB" w14:textId="48EAAB2E" w:rsidR="00E15EBE" w:rsidRDefault="00E15EBE" w:rsidP="00E15EBE">
      <w:pPr>
        <w:pStyle w:val="Fotos"/>
      </w:pPr>
      <w:r>
        <w:lastRenderedPageBreak/>
        <w:t xml:space="preserve">Photos : </w:t>
      </w:r>
    </w:p>
    <w:p w14:paraId="0333AB86" w14:textId="0DD9B330" w:rsidR="00DF10F5" w:rsidRPr="00D200BF" w:rsidRDefault="00DF10F5" w:rsidP="00DF10F5">
      <w:pPr>
        <w:pStyle w:val="BUbold"/>
      </w:pPr>
      <w:r>
        <w:rPr>
          <w:noProof/>
        </w:rPr>
        <w:drawing>
          <wp:inline distT="0" distB="0" distL="0" distR="0" wp14:anchorId="131C8875" wp14:editId="301717C7">
            <wp:extent cx="2077046" cy="138414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384142"/>
                    </a:xfrm>
                    <a:prstGeom prst="rect">
                      <a:avLst/>
                    </a:prstGeom>
                    <a:noFill/>
                    <a:ln>
                      <a:noFill/>
                    </a:ln>
                  </pic:spPr>
                </pic:pic>
              </a:graphicData>
            </a:graphic>
          </wp:inline>
        </w:drawing>
      </w:r>
      <w:r w:rsidR="000639E0">
        <w:tab/>
      </w:r>
      <w:r w:rsidR="000639E0">
        <w:tab/>
      </w:r>
      <w:r w:rsidR="000639E0">
        <w:tab/>
      </w:r>
      <w:r>
        <w:br/>
      </w:r>
      <w:r w:rsidR="00D0079D">
        <w:t>WG_Motto_Bauma 2022_PR</w:t>
      </w:r>
      <w:r w:rsidR="00D0079D">
        <w:tab/>
      </w:r>
      <w:r w:rsidR="000639E0">
        <w:tab/>
      </w:r>
      <w:r w:rsidR="000639E0">
        <w:tab/>
      </w:r>
    </w:p>
    <w:p w14:paraId="7047F204" w14:textId="5AC8EF16" w:rsidR="00DF10F5" w:rsidRDefault="00DF10F5" w:rsidP="00DF10F5">
      <w:pPr>
        <w:pStyle w:val="BUnormal"/>
      </w:pPr>
      <w:r w:rsidRPr="00DF10F5">
        <w:t>Le Wirtgen Group au salon Bauma :</w:t>
      </w:r>
      <w:r>
        <w:t xml:space="preserve"> </w:t>
      </w:r>
      <w:r w:rsidRPr="00DF10F5">
        <w:t>Le Wirtgen Group présente son immense pouvoir d’innovation à Munich avec des solutions d’avenir durables pour la construction routière</w:t>
      </w:r>
      <w:r>
        <w:t>.</w:t>
      </w:r>
    </w:p>
    <w:p w14:paraId="6DB5D348" w14:textId="77777777" w:rsidR="00DF10F5" w:rsidRPr="002309FC" w:rsidRDefault="00DF10F5" w:rsidP="00E15EBE">
      <w:pPr>
        <w:pStyle w:val="Fotos"/>
      </w:pPr>
    </w:p>
    <w:p w14:paraId="20879CE4" w14:textId="204F137E" w:rsidR="002611FE" w:rsidRPr="00D200BF" w:rsidRDefault="00A46F1E" w:rsidP="002611FE">
      <w:pPr>
        <w:pStyle w:val="BUbold"/>
      </w:pPr>
      <w:r>
        <w:rPr>
          <w:noProof/>
        </w:rPr>
        <w:drawing>
          <wp:inline distT="0" distB="0" distL="0" distR="0" wp14:anchorId="1B66E54E" wp14:editId="552EC7BA">
            <wp:extent cx="207704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2077046" cy="1384991"/>
                    </a:xfrm>
                    <a:prstGeom prst="rect">
                      <a:avLst/>
                    </a:prstGeom>
                    <a:noFill/>
                    <a:ln>
                      <a:noFill/>
                    </a:ln>
                  </pic:spPr>
                </pic:pic>
              </a:graphicData>
            </a:graphic>
          </wp:inline>
        </w:drawing>
      </w:r>
      <w:r>
        <w:br/>
        <w:t>W_photo_W100Fi_00003_HI</w:t>
      </w:r>
    </w:p>
    <w:p w14:paraId="257B5A26" w14:textId="653E6DBA" w:rsidR="00793A3A" w:rsidRDefault="00EC214D" w:rsidP="00175AEA">
      <w:pPr>
        <w:pStyle w:val="BUnormal"/>
      </w:pPr>
      <w:r>
        <w:t>Les dimensions compactes et le poids optimal des nouvelles fraiseuses compactes de Wirtgen, la W 100 Fi, la W 120 Fi et la W 130 Fi, offrent une grande diversité d’applications, y compris sur les chantiers exigus.</w:t>
      </w:r>
    </w:p>
    <w:p w14:paraId="5492C0D9" w14:textId="06A93C4F" w:rsidR="00175AEA" w:rsidRPr="00175AEA" w:rsidRDefault="00BD25D1" w:rsidP="00175AEA">
      <w:pPr>
        <w:pStyle w:val="BUnormal"/>
      </w:pPr>
      <w:r>
        <w:t xml:space="preserve"> </w:t>
      </w:r>
    </w:p>
    <w:p w14:paraId="6EA14BFF" w14:textId="07BED714" w:rsidR="00D200BF" w:rsidRDefault="00D200BF" w:rsidP="00D200BF">
      <w:pPr>
        <w:pStyle w:val="BUbold"/>
      </w:pPr>
      <w:r>
        <w:rPr>
          <w:noProof/>
        </w:rPr>
        <w:drawing>
          <wp:inline distT="0" distB="0" distL="0" distR="0" wp14:anchorId="430AE719" wp14:editId="6053F9C7">
            <wp:extent cx="2077046"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6" cy="1384697"/>
                    </a:xfrm>
                    <a:prstGeom prst="rect">
                      <a:avLst/>
                    </a:prstGeom>
                    <a:noFill/>
                    <a:ln>
                      <a:noFill/>
                    </a:ln>
                  </pic:spPr>
                </pic:pic>
              </a:graphicData>
            </a:graphic>
          </wp:inline>
        </w:drawing>
      </w:r>
      <w:r>
        <w:br/>
        <w:t>V_PR_-5-Generation</w:t>
      </w:r>
    </w:p>
    <w:p w14:paraId="10B32123" w14:textId="79D2E6B8" w:rsidR="00D200BF" w:rsidRDefault="00D200BF" w:rsidP="00D200BF">
      <w:pPr>
        <w:pStyle w:val="BUbold"/>
        <w:rPr>
          <w:b w:val="0"/>
          <w:bCs/>
        </w:rPr>
      </w:pPr>
      <w:r>
        <w:rPr>
          <w:b w:val="0"/>
        </w:rPr>
        <w:t xml:space="preserve">Vögele présente le premier finisseur avec une table de pose adéquate de la nouvelle génération « Tiret 5 ».  </w:t>
      </w:r>
    </w:p>
    <w:p w14:paraId="3E2E4EFA" w14:textId="0B49F95A" w:rsidR="00D200BF" w:rsidRDefault="00D200BF" w:rsidP="00D200BF">
      <w:pPr>
        <w:pStyle w:val="BUnormal"/>
      </w:pPr>
    </w:p>
    <w:p w14:paraId="543D5FA7" w14:textId="6D60E50A" w:rsidR="00175AEA" w:rsidRPr="000B1BB3" w:rsidRDefault="00A9162D" w:rsidP="00175AEA">
      <w:pPr>
        <w:pStyle w:val="BUbold"/>
      </w:pPr>
      <w:r>
        <w:rPr>
          <w:noProof/>
        </w:rPr>
        <w:lastRenderedPageBreak/>
        <w:drawing>
          <wp:inline distT="0" distB="0" distL="0" distR="0" wp14:anchorId="243CA728" wp14:editId="09257E1D">
            <wp:extent cx="2077046" cy="1329365"/>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7046" cy="1329365"/>
                    </a:xfrm>
                    <a:prstGeom prst="rect">
                      <a:avLst/>
                    </a:prstGeom>
                    <a:noFill/>
                    <a:ln>
                      <a:noFill/>
                    </a:ln>
                  </pic:spPr>
                </pic:pic>
              </a:graphicData>
            </a:graphic>
          </wp:inline>
        </w:drawing>
      </w:r>
      <w:r>
        <w:br/>
      </w:r>
      <w:r w:rsidR="00DF10F5" w:rsidRPr="00DF10F5">
        <w:t>HAMM_HD 10e-HD 12e</w:t>
      </w:r>
      <w:r>
        <w:t xml:space="preserve"> </w:t>
      </w:r>
    </w:p>
    <w:p w14:paraId="51795031" w14:textId="702F291F" w:rsidR="00175AEA" w:rsidRDefault="00175AEA" w:rsidP="00DF10F5">
      <w:pPr>
        <w:pStyle w:val="BUbold"/>
        <w:rPr>
          <w:b w:val="0"/>
        </w:rPr>
      </w:pPr>
      <w:r>
        <w:rPr>
          <w:b w:val="0"/>
        </w:rPr>
        <w:t xml:space="preserve">Avec huit modèles de la série HD CompactLine, Hamm entre sur le segment de marché des rouleaux tandem à entraînement électrique.  </w:t>
      </w:r>
    </w:p>
    <w:p w14:paraId="5C498465" w14:textId="77777777" w:rsidR="00DF10F5" w:rsidRPr="00DF10F5" w:rsidRDefault="00DF10F5" w:rsidP="00DF10F5">
      <w:pPr>
        <w:pStyle w:val="BUnormal"/>
      </w:pPr>
    </w:p>
    <w:p w14:paraId="65C5FA7D" w14:textId="4216A35D" w:rsidR="00175AEA" w:rsidRPr="004B6341" w:rsidRDefault="00175AEA" w:rsidP="00175AEA">
      <w:pPr>
        <w:autoSpaceDE w:val="0"/>
        <w:autoSpaceDN w:val="0"/>
        <w:adjustRightInd w:val="0"/>
        <w:rPr>
          <w:rFonts w:eastAsia="MS Mincho"/>
          <w:b/>
          <w:sz w:val="20"/>
          <w:szCs w:val="24"/>
        </w:rPr>
      </w:pPr>
      <w:r>
        <w:rPr>
          <w:noProof/>
        </w:rPr>
        <w:drawing>
          <wp:inline distT="0" distB="0" distL="0" distR="0" wp14:anchorId="4C1B0622" wp14:editId="28BC7151">
            <wp:extent cx="1959092" cy="1384991"/>
            <wp:effectExtent l="0" t="0" r="3175"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959092" cy="1384991"/>
                    </a:xfrm>
                    <a:prstGeom prst="rect">
                      <a:avLst/>
                    </a:prstGeom>
                    <a:noFill/>
                    <a:ln>
                      <a:noFill/>
                    </a:ln>
                  </pic:spPr>
                </pic:pic>
              </a:graphicData>
            </a:graphic>
          </wp:inline>
        </w:drawing>
      </w:r>
      <w:r>
        <w:br/>
      </w:r>
      <w:r>
        <w:rPr>
          <w:b/>
          <w:sz w:val="20"/>
        </w:rPr>
        <w:t xml:space="preserve">04_hg_mr130_pro </w:t>
      </w:r>
    </w:p>
    <w:p w14:paraId="7CFE8AAD" w14:textId="6EAF54DF" w:rsidR="00175AEA" w:rsidRDefault="00175AEA" w:rsidP="00175AEA">
      <w:pPr>
        <w:pStyle w:val="Text"/>
        <w:rPr>
          <w:b/>
          <w:bCs/>
        </w:rPr>
      </w:pPr>
      <w:r>
        <w:rPr>
          <w:color w:val="000000" w:themeColor="text1"/>
          <w:sz w:val="20"/>
        </w:rPr>
        <w:t xml:space="preserve">Le broyeur à percussion MOBIREX MR 130(i) PRO rejoint la famille PRO-Line de Kleemann. </w:t>
      </w:r>
      <w:r>
        <w:rPr>
          <w:b/>
        </w:rPr>
        <w:t xml:space="preserve">  </w:t>
      </w:r>
    </w:p>
    <w:p w14:paraId="5757D0CB" w14:textId="77777777" w:rsidR="00793A3A" w:rsidRDefault="00793A3A" w:rsidP="00175AEA">
      <w:pPr>
        <w:pStyle w:val="Text"/>
        <w:rPr>
          <w:b/>
          <w:bCs/>
        </w:rPr>
      </w:pPr>
    </w:p>
    <w:p w14:paraId="01E329D0" w14:textId="77777777" w:rsidR="00092437" w:rsidRPr="00175AEA" w:rsidRDefault="00092437" w:rsidP="00175AEA">
      <w:pPr>
        <w:pStyle w:val="Text"/>
        <w:rPr>
          <w:bCs/>
          <w:color w:val="000000" w:themeColor="text1"/>
          <w:sz w:val="20"/>
          <w:szCs w:val="14"/>
        </w:rPr>
      </w:pPr>
    </w:p>
    <w:p w14:paraId="2D3521A7" w14:textId="4E3E5033" w:rsidR="00092437" w:rsidRPr="004B6341" w:rsidRDefault="00092437" w:rsidP="00092437">
      <w:pPr>
        <w:autoSpaceDE w:val="0"/>
        <w:autoSpaceDN w:val="0"/>
        <w:adjustRightInd w:val="0"/>
        <w:rPr>
          <w:rFonts w:eastAsia="MS Mincho"/>
          <w:b/>
          <w:sz w:val="20"/>
          <w:szCs w:val="24"/>
        </w:rPr>
      </w:pPr>
      <w:r>
        <w:rPr>
          <w:noProof/>
        </w:rPr>
        <w:drawing>
          <wp:inline distT="0" distB="0" distL="0" distR="0" wp14:anchorId="6BAFD2FF" wp14:editId="3F547F04">
            <wp:extent cx="1959092" cy="1099556"/>
            <wp:effectExtent l="0" t="0" r="317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59092" cy="1099556"/>
                    </a:xfrm>
                    <a:prstGeom prst="rect">
                      <a:avLst/>
                    </a:prstGeom>
                    <a:noFill/>
                    <a:ln>
                      <a:noFill/>
                    </a:ln>
                  </pic:spPr>
                </pic:pic>
              </a:graphicData>
            </a:graphic>
          </wp:inline>
        </w:drawing>
      </w:r>
      <w:r>
        <w:br/>
      </w:r>
      <w:r>
        <w:rPr>
          <w:b/>
          <w:sz w:val="20"/>
        </w:rPr>
        <w:t xml:space="preserve">BENNINGHOVEN_Weltpremiere REVOC-System_02 </w:t>
      </w:r>
    </w:p>
    <w:p w14:paraId="6A58CCA5" w14:textId="6D7BBED2" w:rsidR="00092437" w:rsidRPr="00175AEA" w:rsidRDefault="00A9162D" w:rsidP="00092437">
      <w:pPr>
        <w:pStyle w:val="Text"/>
        <w:rPr>
          <w:bCs/>
          <w:color w:val="000000" w:themeColor="text1"/>
          <w:sz w:val="20"/>
          <w:szCs w:val="14"/>
        </w:rPr>
      </w:pPr>
      <w:r>
        <w:rPr>
          <w:color w:val="000000" w:themeColor="text1"/>
          <w:sz w:val="20"/>
        </w:rPr>
        <w:t xml:space="preserve">Le système REVOC est la solution de Benninghoven pour la réduction des émissions lors de la production d’asphalte et pour un travail efficace et respectueux de l’environnement avec des centrales d’enrobage existantes. </w:t>
      </w:r>
      <w:r>
        <w:rPr>
          <w:b/>
        </w:rPr>
        <w:t xml:space="preserve">  </w:t>
      </w:r>
    </w:p>
    <w:p w14:paraId="11675974" w14:textId="268656D9" w:rsidR="00175AEA" w:rsidRDefault="00175AEA" w:rsidP="00175AEA">
      <w:pPr>
        <w:pStyle w:val="Standardabsatz"/>
        <w:rPr>
          <w:lang w:eastAsia="de-DE"/>
        </w:rPr>
      </w:pPr>
    </w:p>
    <w:p w14:paraId="04824B2F" w14:textId="4D31484B" w:rsidR="00F74540" w:rsidRPr="006C0C87" w:rsidRDefault="00E15EBE" w:rsidP="006C0C87">
      <w:pPr>
        <w:pStyle w:val="Note"/>
      </w:pPr>
      <w:r>
        <w:t>Attention : ces photos sont destinées uniquement à une première visualisation. Pour une reproduction dans vos publications, merci d’utiliser les photos en résolution de 300 dpi, que vous pourrez télécharger sur le site web de Wirtgen GmbH / Wirtgen Group.</w:t>
      </w:r>
    </w:p>
    <w:p w14:paraId="748ED4CB" w14:textId="77777777" w:rsidR="00320155" w:rsidRDefault="00320155" w:rsidP="00E15EBE">
      <w:pPr>
        <w:pStyle w:val="Absatzberschrift"/>
        <w:rPr>
          <w:iCs/>
        </w:rPr>
      </w:pPr>
    </w:p>
    <w:p w14:paraId="5093B9AE" w14:textId="77777777" w:rsidR="00DF10F5" w:rsidRDefault="00DF10F5">
      <w:pPr>
        <w:rPr>
          <w:rFonts w:eastAsiaTheme="minorHAnsi" w:cstheme="minorBidi"/>
          <w:b/>
          <w:sz w:val="22"/>
          <w:szCs w:val="24"/>
        </w:rPr>
      </w:pPr>
      <w:r>
        <w:br w:type="page"/>
      </w:r>
    </w:p>
    <w:p w14:paraId="55931FB8" w14:textId="4B171BD6" w:rsidR="00E15EBE" w:rsidRDefault="00E15EBE" w:rsidP="00E15EBE">
      <w:pPr>
        <w:pStyle w:val="Absatzberschrift"/>
        <w:rPr>
          <w:iCs/>
        </w:rPr>
      </w:pPr>
      <w:r>
        <w:lastRenderedPageBreak/>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Téléphone : +49 (0) 2645 131 – 1966 </w:t>
      </w:r>
    </w:p>
    <w:p w14:paraId="65F4C38F" w14:textId="77777777" w:rsidR="00E15EBE" w:rsidRDefault="00E15EBE" w:rsidP="00E15EBE">
      <w:pPr>
        <w:pStyle w:val="Fuzeile1"/>
      </w:pPr>
      <w:r>
        <w:t>Telefax : +49 (0) 2645 131 – 499</w:t>
      </w:r>
    </w:p>
    <w:p w14:paraId="79FF3B7C" w14:textId="0C549577" w:rsidR="00E15EBE" w:rsidRDefault="00E15EBE" w:rsidP="00E15EBE">
      <w:pPr>
        <w:pStyle w:val="Fuzeile1"/>
      </w:pPr>
      <w:r>
        <w:t>E-mail :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NL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r2STSykCAABSBAAADgAAAAAAAAAAAAAAAAAuAgAAZHJzL2Uyb0RvYy54&#10;bWxQSwECLQAUAAYACAAAACEAEw3vsNgAAAADAQAADwAAAAAAAAAAAAAAAACDBAAAZHJzL2Rvd25y&#10;ZXYueG1sUEsFBgAAAAAEAAQA8wAAAIgFA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39E0"/>
    <w:rsid w:val="000649AF"/>
    <w:rsid w:val="00066D09"/>
    <w:rsid w:val="000716F7"/>
    <w:rsid w:val="00092437"/>
    <w:rsid w:val="0009665C"/>
    <w:rsid w:val="000A0479"/>
    <w:rsid w:val="000A36D9"/>
    <w:rsid w:val="000A4C7D"/>
    <w:rsid w:val="000A65B5"/>
    <w:rsid w:val="000B1BB3"/>
    <w:rsid w:val="000B582B"/>
    <w:rsid w:val="000D15C3"/>
    <w:rsid w:val="000E24F8"/>
    <w:rsid w:val="000E5738"/>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7305"/>
    <w:rsid w:val="001F65C7"/>
    <w:rsid w:val="00200355"/>
    <w:rsid w:val="0021351D"/>
    <w:rsid w:val="002309FC"/>
    <w:rsid w:val="00253A2E"/>
    <w:rsid w:val="00254E4C"/>
    <w:rsid w:val="002603EC"/>
    <w:rsid w:val="002611FE"/>
    <w:rsid w:val="00282AFC"/>
    <w:rsid w:val="00283D98"/>
    <w:rsid w:val="00286C15"/>
    <w:rsid w:val="0029634D"/>
    <w:rsid w:val="002C7542"/>
    <w:rsid w:val="002D065C"/>
    <w:rsid w:val="002D0780"/>
    <w:rsid w:val="002D2EE5"/>
    <w:rsid w:val="002D63E6"/>
    <w:rsid w:val="002E765F"/>
    <w:rsid w:val="002E7E4E"/>
    <w:rsid w:val="002F108B"/>
    <w:rsid w:val="002F5818"/>
    <w:rsid w:val="002F70FD"/>
    <w:rsid w:val="0030316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D23D0"/>
    <w:rsid w:val="004D2BE0"/>
    <w:rsid w:val="004D3C28"/>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5D74"/>
    <w:rsid w:val="00774358"/>
    <w:rsid w:val="00791A69"/>
    <w:rsid w:val="00793A3A"/>
    <w:rsid w:val="0079462A"/>
    <w:rsid w:val="00794830"/>
    <w:rsid w:val="00797CAA"/>
    <w:rsid w:val="007A2B6F"/>
    <w:rsid w:val="007A6607"/>
    <w:rsid w:val="007A6BD2"/>
    <w:rsid w:val="007C2658"/>
    <w:rsid w:val="007D59A2"/>
    <w:rsid w:val="007E20D0"/>
    <w:rsid w:val="007E3DAB"/>
    <w:rsid w:val="008053B3"/>
    <w:rsid w:val="00820315"/>
    <w:rsid w:val="00823073"/>
    <w:rsid w:val="0082316D"/>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060F"/>
    <w:rsid w:val="0090337E"/>
    <w:rsid w:val="009049D8"/>
    <w:rsid w:val="00910609"/>
    <w:rsid w:val="00915841"/>
    <w:rsid w:val="009328FA"/>
    <w:rsid w:val="00936A78"/>
    <w:rsid w:val="009375E1"/>
    <w:rsid w:val="009405D6"/>
    <w:rsid w:val="00940FF7"/>
    <w:rsid w:val="00952853"/>
    <w:rsid w:val="009646E4"/>
    <w:rsid w:val="0097289D"/>
    <w:rsid w:val="00977EC3"/>
    <w:rsid w:val="009853B6"/>
    <w:rsid w:val="009863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F1E"/>
    <w:rsid w:val="00A50B95"/>
    <w:rsid w:val="00A66B3F"/>
    <w:rsid w:val="00A82395"/>
    <w:rsid w:val="00A9162D"/>
    <w:rsid w:val="00A9295C"/>
    <w:rsid w:val="00A95A11"/>
    <w:rsid w:val="00A977CE"/>
    <w:rsid w:val="00AA0DF7"/>
    <w:rsid w:val="00AA5014"/>
    <w:rsid w:val="00AB52F9"/>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85705"/>
    <w:rsid w:val="00B874DC"/>
    <w:rsid w:val="00B90F78"/>
    <w:rsid w:val="00BD1058"/>
    <w:rsid w:val="00BD25D1"/>
    <w:rsid w:val="00BD5391"/>
    <w:rsid w:val="00BD764C"/>
    <w:rsid w:val="00BE6771"/>
    <w:rsid w:val="00BF56B2"/>
    <w:rsid w:val="00C055AB"/>
    <w:rsid w:val="00C1044A"/>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79D"/>
    <w:rsid w:val="00D00EC4"/>
    <w:rsid w:val="00D166AC"/>
    <w:rsid w:val="00D200BF"/>
    <w:rsid w:val="00D316A5"/>
    <w:rsid w:val="00D36BA2"/>
    <w:rsid w:val="00D37CF4"/>
    <w:rsid w:val="00D4487C"/>
    <w:rsid w:val="00D51F02"/>
    <w:rsid w:val="00D63D33"/>
    <w:rsid w:val="00D73352"/>
    <w:rsid w:val="00D75195"/>
    <w:rsid w:val="00D75BA3"/>
    <w:rsid w:val="00D82F58"/>
    <w:rsid w:val="00D935C3"/>
    <w:rsid w:val="00DA0266"/>
    <w:rsid w:val="00DA477E"/>
    <w:rsid w:val="00DB01DB"/>
    <w:rsid w:val="00DB2E75"/>
    <w:rsid w:val="00DB4BB0"/>
    <w:rsid w:val="00DE461D"/>
    <w:rsid w:val="00DF10F5"/>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1039</Words>
  <Characters>6549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5</cp:revision>
  <cp:lastPrinted>2021-10-28T15:19:00Z</cp:lastPrinted>
  <dcterms:created xsi:type="dcterms:W3CDTF">2022-06-13T09:12:00Z</dcterms:created>
  <dcterms:modified xsi:type="dcterms:W3CDTF">2022-06-23T11:04:00Z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ies>
</file>